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B8" w:rsidRDefault="00F22CB8" w:rsidP="00F22C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B01657" w:rsidRPr="00B01657" w:rsidRDefault="00B01657" w:rsidP="00DA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Думы Ханты-Мансийского района</w:t>
      </w:r>
    </w:p>
    <w:p w:rsidR="00B01657" w:rsidRPr="00B01657" w:rsidRDefault="00B01657" w:rsidP="00DA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 об исполнении прогнозного плана приватизации муниципального имущества Ханты-Мансийского района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830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B01657" w:rsidRPr="00B01657" w:rsidRDefault="00B01657" w:rsidP="00DA10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87" w:rsidRDefault="00B01657" w:rsidP="00DA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содержание приложения Проекта соответствует требованиям пункта 9 статьи 23 Положения                       о порядке управления и распоряжения муниципальным имуществом Ханты-Мансийского района, утвержденного решением Думы                        Ханты-Мансийского района от 20.03.2014 № 332</w:t>
      </w:r>
      <w:r w:rsidR="00951E74" w:rsidRPr="00F4698F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="00824D87" w:rsidRPr="00F4698F">
        <w:rPr>
          <w:rFonts w:ascii="Times New Roman" w:hAnsi="Times New Roman" w:cs="Times New Roman"/>
          <w:sz w:val="28"/>
          <w:szCs w:val="28"/>
        </w:rPr>
        <w:t>21</w:t>
      </w:r>
      <w:r w:rsidR="00951E74" w:rsidRPr="00F4698F">
        <w:rPr>
          <w:rFonts w:ascii="Times New Roman" w:hAnsi="Times New Roman" w:cs="Times New Roman"/>
          <w:sz w:val="28"/>
          <w:szCs w:val="28"/>
        </w:rPr>
        <w:t>.09.201</w:t>
      </w:r>
      <w:r w:rsidR="00824D87" w:rsidRPr="00F4698F">
        <w:rPr>
          <w:rFonts w:ascii="Times New Roman" w:hAnsi="Times New Roman" w:cs="Times New Roman"/>
          <w:sz w:val="28"/>
          <w:szCs w:val="28"/>
        </w:rPr>
        <w:t>8</w:t>
      </w:r>
      <w:r w:rsidR="00951E74" w:rsidRPr="00F4698F">
        <w:rPr>
          <w:rFonts w:ascii="Times New Roman" w:hAnsi="Times New Roman" w:cs="Times New Roman"/>
          <w:sz w:val="28"/>
          <w:szCs w:val="28"/>
        </w:rPr>
        <w:t>).</w:t>
      </w:r>
      <w:r w:rsidR="00824D87" w:rsidRPr="00824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C4A" w:rsidRDefault="00B01657" w:rsidP="00DA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прогнозному плану приватизации, утвержденному решением Думы Ханты-Мансийского района </w:t>
      </w:r>
      <w:r w:rsidR="00951E74" w:rsidRPr="000E7859">
        <w:rPr>
          <w:rFonts w:ascii="Times New Roman" w:hAnsi="Times New Roman" w:cs="Times New Roman"/>
          <w:sz w:val="28"/>
          <w:szCs w:val="28"/>
        </w:rPr>
        <w:t xml:space="preserve">от </w:t>
      </w:r>
      <w:r w:rsidR="000E7859" w:rsidRPr="000E7859">
        <w:rPr>
          <w:rFonts w:ascii="Times New Roman" w:hAnsi="Times New Roman" w:cs="Times New Roman"/>
          <w:sz w:val="28"/>
          <w:szCs w:val="28"/>
        </w:rPr>
        <w:t>07.12.2018</w:t>
      </w:r>
      <w:r w:rsidR="00951E74" w:rsidRPr="000E7859">
        <w:rPr>
          <w:rFonts w:ascii="Times New Roman" w:hAnsi="Times New Roman" w:cs="Times New Roman"/>
          <w:sz w:val="28"/>
          <w:szCs w:val="28"/>
        </w:rPr>
        <w:t xml:space="preserve"> № </w:t>
      </w:r>
      <w:r w:rsidR="000E7859" w:rsidRPr="000E7859">
        <w:rPr>
          <w:rFonts w:ascii="Times New Roman" w:hAnsi="Times New Roman" w:cs="Times New Roman"/>
          <w:sz w:val="28"/>
          <w:szCs w:val="28"/>
        </w:rPr>
        <w:t>378</w:t>
      </w:r>
      <w:r w:rsidR="00951E74" w:rsidRPr="000E7859">
        <w:rPr>
          <w:rFonts w:ascii="Times New Roman" w:hAnsi="Times New Roman" w:cs="Times New Roman"/>
          <w:sz w:val="28"/>
          <w:szCs w:val="28"/>
        </w:rPr>
        <w:br/>
        <w:t>«Об утверждении прогнозного плана приватизации муниципального имущества Ханты-Мансийского района на 201</w:t>
      </w:r>
      <w:r w:rsidR="000E7859" w:rsidRPr="000E7859">
        <w:rPr>
          <w:rFonts w:ascii="Times New Roman" w:hAnsi="Times New Roman" w:cs="Times New Roman"/>
          <w:sz w:val="28"/>
          <w:szCs w:val="28"/>
        </w:rPr>
        <w:t>9</w:t>
      </w:r>
      <w:r w:rsidR="00951E74" w:rsidRPr="000E78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E7859" w:rsidRPr="000E7859">
        <w:rPr>
          <w:rFonts w:ascii="Times New Roman" w:hAnsi="Times New Roman" w:cs="Times New Roman"/>
          <w:sz w:val="28"/>
          <w:szCs w:val="28"/>
        </w:rPr>
        <w:t>20</w:t>
      </w:r>
      <w:r w:rsidR="00951E74" w:rsidRPr="000E7859">
        <w:rPr>
          <w:rFonts w:ascii="Times New Roman" w:hAnsi="Times New Roman" w:cs="Times New Roman"/>
          <w:sz w:val="28"/>
          <w:szCs w:val="28"/>
        </w:rPr>
        <w:t xml:space="preserve"> и 202</w:t>
      </w:r>
      <w:r w:rsidR="000E7859" w:rsidRPr="000E7859">
        <w:rPr>
          <w:rFonts w:ascii="Times New Roman" w:hAnsi="Times New Roman" w:cs="Times New Roman"/>
          <w:sz w:val="28"/>
          <w:szCs w:val="28"/>
        </w:rPr>
        <w:t>1</w:t>
      </w:r>
      <w:r w:rsidR="00951E74" w:rsidRPr="000E785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51E74" w:rsidRPr="00F31BA2">
        <w:rPr>
          <w:rFonts w:ascii="Times New Roman" w:hAnsi="Times New Roman" w:cs="Times New Roman"/>
          <w:sz w:val="28"/>
          <w:szCs w:val="28"/>
        </w:rPr>
        <w:t>»</w:t>
      </w:r>
      <w:r w:rsidRPr="00F3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</w:t>
      </w:r>
      <w:r w:rsidR="00A57C4A" w:rsidRPr="00F31B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1BA2" w:rsidRPr="00F31B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7C4A" w:rsidRPr="00F31B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31BA2" w:rsidRPr="00F31B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1E74" w:rsidRPr="00F31BA2">
        <w:rPr>
          <w:rFonts w:ascii="Times New Roman" w:hAnsi="Times New Roman" w:cs="Times New Roman"/>
          <w:sz w:val="28"/>
          <w:szCs w:val="28"/>
        </w:rPr>
        <w:t>.201</w:t>
      </w:r>
      <w:r w:rsidR="00F31BA2" w:rsidRPr="00F31BA2">
        <w:rPr>
          <w:rFonts w:ascii="Times New Roman" w:hAnsi="Times New Roman" w:cs="Times New Roman"/>
          <w:sz w:val="28"/>
          <w:szCs w:val="28"/>
        </w:rPr>
        <w:t>9</w:t>
      </w:r>
      <w:r w:rsidRPr="00F3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(д</w:t>
      </w:r>
      <w:r w:rsidR="00951E74" w:rsidRPr="00F31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</w:t>
      </w:r>
      <w:r w:rsidR="00951E74" w:rsidRPr="000E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 приватизации на 201</w:t>
      </w:r>
      <w:r w:rsidR="000E7859" w:rsidRPr="000E78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</w:t>
      </w:r>
      <w:r w:rsidRPr="0086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поступления от исполнения прогнозного плана приватизации муниципального имущества на 201</w:t>
      </w:r>
      <w:r w:rsidR="00864178" w:rsidRPr="008641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4A61" w:rsidRPr="0086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ожидались в </w:t>
      </w:r>
      <w:r w:rsidR="00F94A61" w:rsidRPr="001A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- </w:t>
      </w:r>
      <w:r w:rsidRPr="001A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A1179" w:rsidRPr="001A11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7C4A" w:rsidRPr="001A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</w:t>
      </w:r>
      <w:r w:rsidRPr="001A117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proofErr w:type="gramEnd"/>
      <w:r w:rsidRPr="001A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A57C4A" w:rsidRPr="001A1179">
        <w:rPr>
          <w:rFonts w:ascii="Times New Roman" w:hAnsi="Times New Roman" w:cs="Times New Roman"/>
          <w:sz w:val="28"/>
          <w:szCs w:val="28"/>
        </w:rPr>
        <w:t xml:space="preserve">в том числе: от продажи муниципального имущества – </w:t>
      </w:r>
      <w:r w:rsidR="001A1179" w:rsidRPr="001A1179">
        <w:rPr>
          <w:rFonts w:ascii="Times New Roman" w:hAnsi="Times New Roman" w:cs="Times New Roman"/>
          <w:sz w:val="28"/>
          <w:szCs w:val="28"/>
        </w:rPr>
        <w:t>4 6</w:t>
      </w:r>
      <w:r w:rsidR="00A57C4A" w:rsidRPr="001A1179">
        <w:rPr>
          <w:rFonts w:ascii="Times New Roman" w:hAnsi="Times New Roman" w:cs="Times New Roman"/>
          <w:sz w:val="28"/>
          <w:szCs w:val="28"/>
        </w:rPr>
        <w:t xml:space="preserve">00,0 тыс. рублей, от продажи земельных участков – </w:t>
      </w:r>
      <w:r w:rsidR="001A1179" w:rsidRPr="001A1179">
        <w:rPr>
          <w:rFonts w:ascii="Times New Roman" w:hAnsi="Times New Roman" w:cs="Times New Roman"/>
          <w:sz w:val="28"/>
          <w:szCs w:val="28"/>
        </w:rPr>
        <w:t>9</w:t>
      </w:r>
      <w:r w:rsidR="00A57C4A" w:rsidRPr="001A1179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F6791C" w:rsidRPr="0024110D" w:rsidRDefault="00F6791C" w:rsidP="00DA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0D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обращает внимание, что согласно условиям приватизации</w:t>
      </w:r>
      <w:r w:rsidR="001D66AD" w:rsidRPr="0024110D">
        <w:rPr>
          <w:rFonts w:ascii="Times New Roman" w:hAnsi="Times New Roman" w:cs="Times New Roman"/>
          <w:sz w:val="28"/>
          <w:szCs w:val="28"/>
        </w:rPr>
        <w:t xml:space="preserve"> начальная цена продажи имущества, определенная на основании рыночной оценки, составила </w:t>
      </w:r>
      <w:r w:rsidR="00076E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66AD" w:rsidRPr="0024110D">
        <w:rPr>
          <w:rFonts w:ascii="Times New Roman" w:hAnsi="Times New Roman" w:cs="Times New Roman"/>
          <w:sz w:val="28"/>
          <w:szCs w:val="28"/>
        </w:rPr>
        <w:t>в общей сумме 6 767,4 тыс. рублей или на 23,0 % больше, чем первоначально планируемые поступления.</w:t>
      </w:r>
    </w:p>
    <w:p w:rsidR="00B01657" w:rsidRPr="006D2EDF" w:rsidRDefault="00B01657" w:rsidP="00DA1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Сделки по приватизации имущества, согласно данным графы «Цена сделки приватизации» приложения к Проекту, заключены на сумму   </w:t>
      </w:r>
      <w:r w:rsidR="008C4DBB"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A95"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>741,</w:t>
      </w:r>
      <w:r w:rsidR="00DD21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бюджет Ханты-Мансийского района поступило доходов от продажи муниципального имущества, включенного в план </w:t>
      </w:r>
      <w:r w:rsidR="00AF6C20"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на 201</w:t>
      </w:r>
      <w:r w:rsidR="00C93B61"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на сумму </w:t>
      </w:r>
      <w:r w:rsidR="00797DF4"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>741,</w:t>
      </w:r>
      <w:r w:rsidR="00DD2158"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6E2EC2"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E5327"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8C4DBB"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0E1C"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790E1C"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</w:t>
      </w:r>
      <w:r w:rsidR="00790E1C"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93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57" w:rsidRPr="00830772" w:rsidRDefault="00B01657" w:rsidP="00DA1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D2EDF"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позиций Плана приватизации </w:t>
      </w:r>
      <w:r w:rsidR="00AF6C20"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D2EDF"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(с изменениями от </w:t>
      </w:r>
      <w:r w:rsidR="006D2EDF"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>27.06</w:t>
      </w:r>
      <w:r w:rsidR="006D2EDF" w:rsidRPr="006D2EDF">
        <w:rPr>
          <w:rFonts w:ascii="Times New Roman" w:hAnsi="Times New Roman" w:cs="Times New Roman"/>
          <w:sz w:val="28"/>
          <w:szCs w:val="28"/>
        </w:rPr>
        <w:t>.2019</w:t>
      </w:r>
      <w:r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реализовано </w:t>
      </w:r>
      <w:r w:rsidR="006D2EDF"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C20"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</w:t>
      </w:r>
      <w:r w:rsidR="00AF6C20"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приватизировано </w:t>
      </w:r>
      <w:r w:rsidR="006D2EDF"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08F"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собственности,</w:t>
      </w:r>
      <w:r w:rsidR="00F94A61"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             </w:t>
      </w:r>
      <w:r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объекта</w:t>
      </w:r>
      <w:r w:rsidR="00F6708F"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и </w:t>
      </w:r>
      <w:r w:rsidR="006D2EDF"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движимого имущества.</w:t>
      </w:r>
    </w:p>
    <w:p w:rsidR="00BD5C59" w:rsidRPr="0035225D" w:rsidRDefault="00BD5C59" w:rsidP="00DA1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данные </w:t>
      </w:r>
      <w:r w:rsidR="00D64E62" w:rsidRPr="003522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балансовой стоимости и цены</w:t>
      </w:r>
      <w:r w:rsidRPr="0035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объектов муниципального имущества Ханты-Мансийского района, приватизированных в 201</w:t>
      </w:r>
      <w:r w:rsidR="0035225D" w:rsidRPr="003522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64E62" w:rsidRPr="0035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Таблице 1.</w:t>
      </w:r>
    </w:p>
    <w:p w:rsidR="00B01657" w:rsidRPr="0035225D" w:rsidRDefault="00BD5C59" w:rsidP="00B016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  <w:r w:rsidRPr="0035225D">
        <w:rPr>
          <w:rFonts w:ascii="Times New Roman" w:eastAsia="Times New Roman" w:hAnsi="Times New Roman" w:cs="Times New Roman"/>
          <w:szCs w:val="27"/>
          <w:lang w:eastAsia="ru-RU"/>
        </w:rPr>
        <w:t>Т</w:t>
      </w:r>
      <w:r w:rsidR="00B01657" w:rsidRPr="0035225D">
        <w:rPr>
          <w:rFonts w:ascii="Times New Roman" w:eastAsia="Times New Roman" w:hAnsi="Times New Roman" w:cs="Times New Roman"/>
          <w:szCs w:val="27"/>
          <w:lang w:eastAsia="ru-RU"/>
        </w:rPr>
        <w:t>аблица 1</w:t>
      </w:r>
    </w:p>
    <w:tbl>
      <w:tblPr>
        <w:tblStyle w:val="a5"/>
        <w:tblW w:w="0" w:type="auto"/>
        <w:tblInd w:w="108" w:type="dxa"/>
        <w:tblLook w:val="04A0"/>
      </w:tblPr>
      <w:tblGrid>
        <w:gridCol w:w="419"/>
        <w:gridCol w:w="2472"/>
        <w:gridCol w:w="1121"/>
        <w:gridCol w:w="834"/>
        <w:gridCol w:w="1537"/>
        <w:gridCol w:w="1150"/>
        <w:gridCol w:w="981"/>
        <w:gridCol w:w="665"/>
      </w:tblGrid>
      <w:tr w:rsidR="00F21CA6" w:rsidRPr="00830772" w:rsidTr="001B0046">
        <w:trPr>
          <w:trHeight w:val="686"/>
        </w:trPr>
        <w:tc>
          <w:tcPr>
            <w:tcW w:w="419" w:type="dxa"/>
            <w:vMerge w:val="restart"/>
            <w:vAlign w:val="center"/>
          </w:tcPr>
          <w:p w:rsidR="00B01657" w:rsidRPr="00934C25" w:rsidRDefault="00B01657" w:rsidP="00350D43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B01657" w:rsidRPr="00934C25" w:rsidRDefault="00B01657" w:rsidP="00350D43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B01657" w:rsidRPr="00934C25" w:rsidRDefault="00B01657" w:rsidP="00350D43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Calibri" w:hAnsi="Times New Roman" w:cs="Times New Roman"/>
                <w:sz w:val="15"/>
                <w:szCs w:val="15"/>
              </w:rPr>
              <w:t>№ п/п</w:t>
            </w:r>
          </w:p>
        </w:tc>
        <w:tc>
          <w:tcPr>
            <w:tcW w:w="2482" w:type="dxa"/>
            <w:vMerge w:val="restart"/>
            <w:vAlign w:val="center"/>
          </w:tcPr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  <w:p w:rsidR="00B01657" w:rsidRPr="00934C25" w:rsidRDefault="00FD4573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имущества</w:t>
            </w: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Способ приватизации</w:t>
            </w:r>
          </w:p>
        </w:tc>
        <w:tc>
          <w:tcPr>
            <w:tcW w:w="834" w:type="dxa"/>
            <w:vMerge w:val="restart"/>
            <w:vAlign w:val="center"/>
          </w:tcPr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Кол-во объектов,</w:t>
            </w: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1542" w:type="dxa"/>
            <w:vMerge w:val="restart"/>
            <w:vAlign w:val="center"/>
          </w:tcPr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01657" w:rsidRPr="00934C25" w:rsidRDefault="00F21CA6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Балансовая </w:t>
            </w:r>
            <w:r w:rsidR="00B01657"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стоимость</w:t>
            </w: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имущества</w:t>
            </w: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 учета НДС,</w:t>
            </w:r>
          </w:p>
          <w:p w:rsidR="00B01657" w:rsidRPr="00934C25" w:rsidRDefault="001B0046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тыс. рублей</w:t>
            </w: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Цена продажи</w:t>
            </w: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имущества</w:t>
            </w: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 учета НДС,</w:t>
            </w:r>
          </w:p>
          <w:p w:rsidR="00B01657" w:rsidRPr="00934C25" w:rsidRDefault="001B0046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тыс. рублей</w:t>
            </w:r>
          </w:p>
        </w:tc>
        <w:tc>
          <w:tcPr>
            <w:tcW w:w="0" w:type="auto"/>
            <w:gridSpan w:val="2"/>
            <w:vAlign w:val="center"/>
          </w:tcPr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</w:t>
            </w:r>
          </w:p>
          <w:p w:rsidR="00B01657" w:rsidRPr="00934C25" w:rsidRDefault="00D64E62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</w:t>
            </w:r>
            <w:r w:rsidR="00B01657"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ены</w:t>
            </w: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B01657"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продажи</w:t>
            </w: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 </w:t>
            </w:r>
            <w:r w:rsidR="00D64E62"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балансовой</w:t>
            </w: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стоимости</w:t>
            </w:r>
          </w:p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имущества</w:t>
            </w:r>
          </w:p>
        </w:tc>
      </w:tr>
      <w:tr w:rsidR="007C54A4" w:rsidRPr="00830772" w:rsidTr="001B0046">
        <w:trPr>
          <w:trHeight w:val="673"/>
        </w:trPr>
        <w:tc>
          <w:tcPr>
            <w:tcW w:w="419" w:type="dxa"/>
            <w:vMerge/>
            <w:vAlign w:val="center"/>
          </w:tcPr>
          <w:p w:rsidR="00B01657" w:rsidRPr="00934C25" w:rsidRDefault="00B01657" w:rsidP="00350D43">
            <w:pPr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482" w:type="dxa"/>
            <w:vMerge/>
            <w:vAlign w:val="center"/>
          </w:tcPr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102" w:type="dxa"/>
            <w:vMerge/>
            <w:vAlign w:val="center"/>
          </w:tcPr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834" w:type="dxa"/>
            <w:vMerge/>
            <w:vAlign w:val="center"/>
          </w:tcPr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542" w:type="dxa"/>
            <w:vMerge/>
            <w:vAlign w:val="center"/>
          </w:tcPr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152" w:type="dxa"/>
            <w:vMerge/>
            <w:vAlign w:val="center"/>
          </w:tcPr>
          <w:p w:rsidR="00B01657" w:rsidRPr="00934C25" w:rsidRDefault="00B01657" w:rsidP="00350D43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01657" w:rsidRPr="00934C25" w:rsidRDefault="00B01657" w:rsidP="00350D4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01657" w:rsidRPr="00934C25" w:rsidRDefault="00B01657" w:rsidP="00350D4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4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B01657" w:rsidRPr="0052218B" w:rsidRDefault="00B01657" w:rsidP="00350D4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01657" w:rsidRPr="0052218B" w:rsidRDefault="001B0046" w:rsidP="00350D4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21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тыс. рублей</w:t>
            </w:r>
          </w:p>
        </w:tc>
      </w:tr>
      <w:tr w:rsidR="007C54A4" w:rsidRPr="00830772" w:rsidTr="009B4795">
        <w:trPr>
          <w:trHeight w:val="481"/>
        </w:trPr>
        <w:tc>
          <w:tcPr>
            <w:tcW w:w="419" w:type="dxa"/>
            <w:vAlign w:val="center"/>
          </w:tcPr>
          <w:p w:rsidR="00B01657" w:rsidRPr="0052218B" w:rsidRDefault="00F6708F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82" w:type="dxa"/>
            <w:vAlign w:val="center"/>
          </w:tcPr>
          <w:p w:rsidR="00B01657" w:rsidRPr="0052218B" w:rsidRDefault="00F6708F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2" w:type="dxa"/>
            <w:vAlign w:val="center"/>
          </w:tcPr>
          <w:p w:rsidR="00B01657" w:rsidRPr="0052218B" w:rsidRDefault="000B3B3A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4" w:type="dxa"/>
            <w:vAlign w:val="center"/>
          </w:tcPr>
          <w:p w:rsidR="00B01657" w:rsidRPr="0052218B" w:rsidRDefault="00F6708F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2" w:type="dxa"/>
            <w:vAlign w:val="center"/>
          </w:tcPr>
          <w:p w:rsidR="00B01657" w:rsidRPr="0052218B" w:rsidRDefault="00F6708F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2" w:type="dxa"/>
            <w:vAlign w:val="center"/>
          </w:tcPr>
          <w:p w:rsidR="00B01657" w:rsidRPr="0052218B" w:rsidRDefault="00F6708F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50D43" w:rsidRDefault="00350D43" w:rsidP="00350D4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1657" w:rsidRPr="0052218B" w:rsidRDefault="00F6708F" w:rsidP="00350D4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7C54A4" w:rsidRPr="00522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(6/5*100%)</w:t>
            </w:r>
          </w:p>
          <w:p w:rsidR="007C54A4" w:rsidRPr="0052218B" w:rsidRDefault="007C54A4" w:rsidP="00350D4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0D43" w:rsidRDefault="00F6708F" w:rsidP="00350D4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7C54A4" w:rsidRPr="00522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01657" w:rsidRPr="0052218B" w:rsidRDefault="007C54A4" w:rsidP="00350D4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(6-5)</w:t>
            </w:r>
          </w:p>
        </w:tc>
      </w:tr>
      <w:tr w:rsidR="0087398C" w:rsidRPr="00830772" w:rsidTr="0087398C">
        <w:trPr>
          <w:trHeight w:val="716"/>
        </w:trPr>
        <w:tc>
          <w:tcPr>
            <w:tcW w:w="419" w:type="dxa"/>
            <w:vAlign w:val="center"/>
          </w:tcPr>
          <w:p w:rsidR="0087398C" w:rsidRPr="006A3A62" w:rsidRDefault="0087398C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2" w:type="dxa"/>
            <w:vAlign w:val="center"/>
          </w:tcPr>
          <w:p w:rsidR="0087398C" w:rsidRPr="00DE1612" w:rsidRDefault="00DE1612" w:rsidP="0035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E1612">
              <w:rPr>
                <w:rFonts w:ascii="Times New Roman" w:hAnsi="Times New Roman" w:cs="Times New Roman"/>
                <w:sz w:val="16"/>
                <w:szCs w:val="16"/>
              </w:rPr>
              <w:t>Автомобиль ГАЗ-322173</w:t>
            </w:r>
          </w:p>
        </w:tc>
        <w:tc>
          <w:tcPr>
            <w:tcW w:w="1102" w:type="dxa"/>
            <w:vAlign w:val="center"/>
          </w:tcPr>
          <w:p w:rsidR="0087398C" w:rsidRPr="00AA3072" w:rsidRDefault="00AA3072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Посредством публичного предложения</w:t>
            </w:r>
          </w:p>
        </w:tc>
        <w:tc>
          <w:tcPr>
            <w:tcW w:w="834" w:type="dxa"/>
            <w:vAlign w:val="center"/>
          </w:tcPr>
          <w:p w:rsidR="0087398C" w:rsidRPr="00AA3072" w:rsidRDefault="0087398C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2" w:type="dxa"/>
            <w:vAlign w:val="center"/>
          </w:tcPr>
          <w:p w:rsidR="0087398C" w:rsidRPr="00830772" w:rsidRDefault="00435A9D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35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428,4</w:t>
            </w:r>
          </w:p>
        </w:tc>
        <w:tc>
          <w:tcPr>
            <w:tcW w:w="1152" w:type="dxa"/>
            <w:vAlign w:val="center"/>
          </w:tcPr>
          <w:p w:rsidR="0087398C" w:rsidRPr="00094210" w:rsidRDefault="00094210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0" w:type="auto"/>
            <w:vAlign w:val="center"/>
          </w:tcPr>
          <w:p w:rsidR="0087398C" w:rsidRPr="0094662D" w:rsidRDefault="0094662D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</w:tcPr>
          <w:p w:rsidR="0087398C" w:rsidRPr="0094662D" w:rsidRDefault="0094662D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-408,5</w:t>
            </w:r>
          </w:p>
        </w:tc>
      </w:tr>
      <w:tr w:rsidR="007C54A4" w:rsidRPr="00830772" w:rsidTr="009B4795">
        <w:trPr>
          <w:trHeight w:val="1578"/>
        </w:trPr>
        <w:tc>
          <w:tcPr>
            <w:tcW w:w="419" w:type="dxa"/>
            <w:vMerge w:val="restart"/>
            <w:vAlign w:val="center"/>
          </w:tcPr>
          <w:p w:rsidR="007C54A4" w:rsidRPr="006A3A62" w:rsidRDefault="0087398C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2" w:type="dxa"/>
            <w:vAlign w:val="center"/>
          </w:tcPr>
          <w:p w:rsidR="00790EA4" w:rsidRDefault="00790EA4" w:rsidP="00350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C4D" w:rsidRDefault="00DE1612" w:rsidP="00350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61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Административно-бытовое здание, расположенное </w:t>
            </w:r>
          </w:p>
          <w:p w:rsidR="00205426" w:rsidRDefault="00DE1612" w:rsidP="00350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612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Ханты-Мансийский автономный округ – Югра, Ханты-Мансийский район, </w:t>
            </w:r>
          </w:p>
          <w:p w:rsidR="00205426" w:rsidRDefault="00DE1612" w:rsidP="00350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612">
              <w:rPr>
                <w:rFonts w:ascii="Times New Roman" w:hAnsi="Times New Roman" w:cs="Times New Roman"/>
                <w:sz w:val="16"/>
                <w:szCs w:val="16"/>
              </w:rPr>
              <w:t xml:space="preserve">п. Кедровый, </w:t>
            </w:r>
          </w:p>
          <w:p w:rsidR="00DE1612" w:rsidRPr="00DE1612" w:rsidRDefault="00DE1612" w:rsidP="00350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612">
              <w:rPr>
                <w:rFonts w:ascii="Times New Roman" w:hAnsi="Times New Roman" w:cs="Times New Roman"/>
                <w:sz w:val="16"/>
                <w:szCs w:val="16"/>
              </w:rPr>
              <w:t>ул. Старая Набережная, д. 34а</w:t>
            </w:r>
          </w:p>
          <w:p w:rsidR="007C54A4" w:rsidRPr="00DE1612" w:rsidRDefault="007C54A4" w:rsidP="00350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7C54A4" w:rsidRPr="00AA3072" w:rsidRDefault="000B3B3A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7C54A4" w:rsidRPr="00AA30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укцион</w:t>
            </w:r>
          </w:p>
        </w:tc>
        <w:tc>
          <w:tcPr>
            <w:tcW w:w="834" w:type="dxa"/>
            <w:vAlign w:val="center"/>
          </w:tcPr>
          <w:p w:rsidR="007C54A4" w:rsidRPr="00AA30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54A4" w:rsidRPr="00AA30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54A4" w:rsidRPr="00AA30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54A4" w:rsidRPr="00AA30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54A4" w:rsidRPr="00AA30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7C54A4" w:rsidRPr="00AA30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7C54A4" w:rsidRPr="008307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C54A4" w:rsidRPr="008307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C54A4" w:rsidRPr="008307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C54A4" w:rsidRPr="005A450F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54A4" w:rsidRPr="005A450F" w:rsidRDefault="005A450F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729,6</w:t>
            </w:r>
          </w:p>
          <w:p w:rsidR="007C54A4" w:rsidRPr="005A450F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 том  числе </w:t>
            </w:r>
            <w:r w:rsidR="005A450F" w:rsidRPr="005A4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337,1</w:t>
            </w:r>
            <w:r w:rsidR="009B4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тыс. рублей</w:t>
            </w:r>
            <w:r w:rsidRPr="005A450F">
              <w:t xml:space="preserve"> </w:t>
            </w:r>
            <w:r w:rsidRPr="005A4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кадастровая стоимость земельного участка)</w:t>
            </w:r>
          </w:p>
          <w:p w:rsidR="007C54A4" w:rsidRPr="005A450F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54A4" w:rsidRPr="008307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C54A4" w:rsidRPr="008307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C54A4" w:rsidRPr="008307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C54A4" w:rsidRPr="008307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7C54A4" w:rsidRPr="00094210" w:rsidRDefault="007C54A4" w:rsidP="00350D4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7C54A4" w:rsidRPr="00094210" w:rsidRDefault="007C54A4" w:rsidP="00350D4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7C54A4" w:rsidRPr="00094210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54A4" w:rsidRPr="00094210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54A4" w:rsidRPr="00094210" w:rsidRDefault="00094210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721,2</w:t>
            </w:r>
          </w:p>
          <w:p w:rsidR="007C54A4" w:rsidRPr="00094210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54A4" w:rsidRPr="00094210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54A4" w:rsidRPr="00094210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54A4" w:rsidRPr="00094210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C54A4" w:rsidRPr="0094662D" w:rsidRDefault="0094662D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0" w:type="auto"/>
            <w:vMerge w:val="restart"/>
            <w:vAlign w:val="center"/>
          </w:tcPr>
          <w:p w:rsidR="007C54A4" w:rsidRPr="0094662D" w:rsidRDefault="0094662D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-8,4</w:t>
            </w:r>
          </w:p>
        </w:tc>
      </w:tr>
      <w:tr w:rsidR="007C54A4" w:rsidRPr="00830772" w:rsidTr="001B0046">
        <w:tc>
          <w:tcPr>
            <w:tcW w:w="419" w:type="dxa"/>
            <w:vMerge/>
            <w:vAlign w:val="center"/>
          </w:tcPr>
          <w:p w:rsidR="007C54A4" w:rsidRPr="008307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82" w:type="dxa"/>
            <w:vAlign w:val="center"/>
          </w:tcPr>
          <w:p w:rsidR="00790EA4" w:rsidRPr="00DE1612" w:rsidRDefault="00DE1612" w:rsidP="00E93B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DE1612">
              <w:rPr>
                <w:rFonts w:ascii="Times New Roman" w:hAnsi="Times New Roman" w:cs="Times New Roman"/>
                <w:sz w:val="16"/>
                <w:szCs w:val="16"/>
              </w:rPr>
              <w:t>Земельный участок, расположенный по адресу: Ханты-Мансийский автономный округ – Югра, Ханты-Мансийский район, п. Кедровый, ул. Старая Набережная, д. 34а</w:t>
            </w:r>
          </w:p>
        </w:tc>
        <w:tc>
          <w:tcPr>
            <w:tcW w:w="1102" w:type="dxa"/>
            <w:vMerge/>
            <w:vAlign w:val="center"/>
          </w:tcPr>
          <w:p w:rsidR="007C54A4" w:rsidRPr="00DE161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7C54A4" w:rsidRPr="00AA30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2" w:type="dxa"/>
            <w:vMerge/>
            <w:vAlign w:val="center"/>
          </w:tcPr>
          <w:p w:rsidR="007C54A4" w:rsidRPr="008307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52" w:type="dxa"/>
            <w:vMerge/>
            <w:vAlign w:val="center"/>
          </w:tcPr>
          <w:p w:rsidR="007C54A4" w:rsidRPr="00830772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C54A4" w:rsidRPr="0094662D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C54A4" w:rsidRPr="0094662D" w:rsidRDefault="007C54A4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12D1" w:rsidRPr="00830772" w:rsidTr="001B0046">
        <w:trPr>
          <w:trHeight w:val="361"/>
        </w:trPr>
        <w:tc>
          <w:tcPr>
            <w:tcW w:w="4003" w:type="dxa"/>
            <w:gridSpan w:val="3"/>
            <w:vAlign w:val="center"/>
          </w:tcPr>
          <w:p w:rsidR="00E412D1" w:rsidRPr="00DE1612" w:rsidRDefault="00E412D1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12D1" w:rsidRPr="00DE1612" w:rsidRDefault="00E412D1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6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  <w:p w:rsidR="00E412D1" w:rsidRPr="00DE1612" w:rsidRDefault="00E412D1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E412D1" w:rsidRPr="00DE1612" w:rsidRDefault="00DE1612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6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2" w:type="dxa"/>
            <w:vAlign w:val="center"/>
          </w:tcPr>
          <w:p w:rsidR="00E412D1" w:rsidRPr="00830772" w:rsidRDefault="005A450F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A4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1 158,0</w:t>
            </w:r>
          </w:p>
        </w:tc>
        <w:tc>
          <w:tcPr>
            <w:tcW w:w="1152" w:type="dxa"/>
            <w:vAlign w:val="center"/>
          </w:tcPr>
          <w:p w:rsidR="00E412D1" w:rsidRPr="00830772" w:rsidRDefault="00094210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9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741,1</w:t>
            </w:r>
          </w:p>
        </w:tc>
        <w:tc>
          <w:tcPr>
            <w:tcW w:w="0" w:type="auto"/>
            <w:vAlign w:val="center"/>
          </w:tcPr>
          <w:p w:rsidR="00E412D1" w:rsidRPr="0094662D" w:rsidRDefault="0094662D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0" w:type="auto"/>
            <w:vAlign w:val="center"/>
          </w:tcPr>
          <w:p w:rsidR="00E412D1" w:rsidRPr="0094662D" w:rsidRDefault="0094662D" w:rsidP="00350D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-416,9</w:t>
            </w:r>
          </w:p>
        </w:tc>
      </w:tr>
    </w:tbl>
    <w:p w:rsidR="00B01657" w:rsidRPr="00830772" w:rsidRDefault="00B01657" w:rsidP="00B0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01657" w:rsidRPr="004339FF" w:rsidRDefault="00B01657" w:rsidP="009B4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E412D1"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балансовая</w:t>
      </w:r>
      <w:r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приватизированных в 201</w:t>
      </w:r>
      <w:r w:rsidR="004339FF"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C4DBB"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339FF"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муниципальной собственности составила </w:t>
      </w:r>
      <w:r w:rsidR="004339FF"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>1 158,0</w:t>
      </w:r>
      <w:r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общая цена их продажи </w:t>
      </w:r>
      <w:r w:rsidR="004339FF"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>741,1</w:t>
      </w:r>
      <w:r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84250"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в отчетном году приватизация осуществлена на </w:t>
      </w:r>
      <w:r w:rsidR="00C0089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4339FF"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B0046"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E6B4A"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795"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416,9 тыс. рублей ниже</w:t>
      </w:r>
      <w:r w:rsidR="0041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 сравнению с балансовой стоимостью</w:t>
      </w:r>
      <w:r w:rsidRP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1657" w:rsidRPr="009E3031" w:rsidRDefault="00B01657" w:rsidP="009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неисполнения Плана приватизации явилось                     – отсутствие поданных заявок на участие в торгах.</w:t>
      </w:r>
    </w:p>
    <w:p w:rsidR="00D12A6F" w:rsidRDefault="008A18C8" w:rsidP="009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12A6F"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FD4573"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</w:t>
      </w:r>
      <w:r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4573"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по которым торги </w:t>
      </w:r>
      <w:r w:rsidR="008C4DBB"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D4573"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состоялись, включены в прогнозный план приватизации муниципального имущества Ханты-Мансийского района на 20</w:t>
      </w:r>
      <w:r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4573"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E2EC2"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D4573"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4573"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573" w:rsidRPr="00A5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4F1110" w:rsidRPr="00076E43" w:rsidRDefault="004C1545" w:rsidP="009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43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района, о</w:t>
      </w:r>
      <w:r w:rsidR="004F1110" w:rsidRPr="00076E43">
        <w:rPr>
          <w:rFonts w:ascii="Times New Roman" w:hAnsi="Times New Roman" w:cs="Times New Roman"/>
          <w:sz w:val="28"/>
          <w:szCs w:val="28"/>
        </w:rPr>
        <w:t>бращае</w:t>
      </w:r>
      <w:r w:rsidRPr="00076E43">
        <w:rPr>
          <w:rFonts w:ascii="Times New Roman" w:hAnsi="Times New Roman" w:cs="Times New Roman"/>
          <w:sz w:val="28"/>
          <w:szCs w:val="28"/>
        </w:rPr>
        <w:t>т</w:t>
      </w:r>
      <w:r w:rsidR="004F1110" w:rsidRPr="00076E43">
        <w:rPr>
          <w:rFonts w:ascii="Times New Roman" w:hAnsi="Times New Roman" w:cs="Times New Roman"/>
          <w:sz w:val="28"/>
          <w:szCs w:val="28"/>
        </w:rPr>
        <w:t xml:space="preserve"> внимание, что невыполнение прогнозного плана приватизации (полностью или частично) влечет риск неисполнения доходной части бюджета и, как следствие, нарушения принципа сбалансированности бюджета, установленного статьёй 33 Бюджетного кодекса РФ, и неисполнения расходных обязательств муниципального образования.</w:t>
      </w:r>
      <w:bookmarkStart w:id="0" w:name="_GoBack"/>
      <w:bookmarkEnd w:id="0"/>
    </w:p>
    <w:p w:rsidR="00B01657" w:rsidRPr="00AA5DE5" w:rsidRDefault="00B01657" w:rsidP="009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финансово-экономической экспертизы Проекта, контрольно-счетная палата Ханты-Мансийского района предлагает к отчету об исполнении прогнозного плана приватизации муниципального имущества за отчетный год </w:t>
      </w:r>
      <w:r w:rsidR="001B0046" w:rsidRPr="00AA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</w:t>
      </w:r>
      <w:r w:rsidRPr="00AA5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                  о рыночной стоимости приватизированного в отчетном периоде муниципального имущества, с целью сравнения по отношению к цене сделки приватизации имущества.</w:t>
      </w:r>
    </w:p>
    <w:p w:rsidR="00F54F00" w:rsidRDefault="00B01657" w:rsidP="009B4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иные замечания и предложения к Проекту отсутствуют.</w:t>
      </w:r>
    </w:p>
    <w:p w:rsidR="00E93BC3" w:rsidRDefault="00E93BC3" w:rsidP="009B4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3BC3" w:rsidSect="00E6250A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10" w:rsidRDefault="004F1110" w:rsidP="00617B40">
      <w:pPr>
        <w:spacing w:after="0" w:line="240" w:lineRule="auto"/>
      </w:pPr>
      <w:r>
        <w:separator/>
      </w:r>
    </w:p>
  </w:endnote>
  <w:endnote w:type="continuationSeparator" w:id="0">
    <w:p w:rsidR="004F1110" w:rsidRDefault="004F111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497975"/>
      <w:docPartObj>
        <w:docPartGallery w:val="Page Numbers (Bottom of Page)"/>
        <w:docPartUnique/>
      </w:docPartObj>
    </w:sdtPr>
    <w:sdtContent>
      <w:p w:rsidR="004F1110" w:rsidRDefault="00733C0F">
        <w:pPr>
          <w:pStyle w:val="a8"/>
          <w:jc w:val="right"/>
        </w:pPr>
        <w:r>
          <w:fldChar w:fldCharType="begin"/>
        </w:r>
        <w:r w:rsidR="009B4795">
          <w:instrText>PAGE   \* MERGEFORMAT</w:instrText>
        </w:r>
        <w:r>
          <w:fldChar w:fldCharType="separate"/>
        </w:r>
        <w:r w:rsidR="00F22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110" w:rsidRDefault="004F11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10" w:rsidRDefault="004F1110" w:rsidP="00617B40">
      <w:pPr>
        <w:spacing w:after="0" w:line="240" w:lineRule="auto"/>
      </w:pPr>
      <w:r>
        <w:separator/>
      </w:r>
    </w:p>
  </w:footnote>
  <w:footnote w:type="continuationSeparator" w:id="0">
    <w:p w:rsidR="004F1110" w:rsidRDefault="004F111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1A7"/>
    <w:rsid w:val="0000439F"/>
    <w:rsid w:val="00012153"/>
    <w:rsid w:val="00050AB3"/>
    <w:rsid w:val="000553F6"/>
    <w:rsid w:val="00076E43"/>
    <w:rsid w:val="00094210"/>
    <w:rsid w:val="0009485B"/>
    <w:rsid w:val="00094C89"/>
    <w:rsid w:val="000A20DE"/>
    <w:rsid w:val="000B1569"/>
    <w:rsid w:val="000B30E4"/>
    <w:rsid w:val="000B3B3A"/>
    <w:rsid w:val="000B4C48"/>
    <w:rsid w:val="000B6BD3"/>
    <w:rsid w:val="000E2AD9"/>
    <w:rsid w:val="000E4D41"/>
    <w:rsid w:val="000E7859"/>
    <w:rsid w:val="000F242D"/>
    <w:rsid w:val="000F26F3"/>
    <w:rsid w:val="00113D3B"/>
    <w:rsid w:val="00114DA7"/>
    <w:rsid w:val="00150967"/>
    <w:rsid w:val="001578E9"/>
    <w:rsid w:val="00167936"/>
    <w:rsid w:val="00182B80"/>
    <w:rsid w:val="001847D2"/>
    <w:rsid w:val="0018600B"/>
    <w:rsid w:val="00186A59"/>
    <w:rsid w:val="001917DA"/>
    <w:rsid w:val="001A1179"/>
    <w:rsid w:val="001B0046"/>
    <w:rsid w:val="001C1B3C"/>
    <w:rsid w:val="001C5C3F"/>
    <w:rsid w:val="001D66AD"/>
    <w:rsid w:val="001E42EE"/>
    <w:rsid w:val="001E6A95"/>
    <w:rsid w:val="001F6692"/>
    <w:rsid w:val="00205426"/>
    <w:rsid w:val="0021693B"/>
    <w:rsid w:val="00225C7D"/>
    <w:rsid w:val="002300FD"/>
    <w:rsid w:val="00234040"/>
    <w:rsid w:val="0024110D"/>
    <w:rsid w:val="002529F0"/>
    <w:rsid w:val="00261D49"/>
    <w:rsid w:val="00276FC1"/>
    <w:rsid w:val="00284BF7"/>
    <w:rsid w:val="00297A80"/>
    <w:rsid w:val="002A75A0"/>
    <w:rsid w:val="002D0994"/>
    <w:rsid w:val="002D5B06"/>
    <w:rsid w:val="00301280"/>
    <w:rsid w:val="0032370D"/>
    <w:rsid w:val="00343BF0"/>
    <w:rsid w:val="00343FF5"/>
    <w:rsid w:val="00350D43"/>
    <w:rsid w:val="0035225D"/>
    <w:rsid w:val="003624D8"/>
    <w:rsid w:val="00382EE6"/>
    <w:rsid w:val="00393DAD"/>
    <w:rsid w:val="00397EFC"/>
    <w:rsid w:val="003F2416"/>
    <w:rsid w:val="003F3603"/>
    <w:rsid w:val="00404BE7"/>
    <w:rsid w:val="00411891"/>
    <w:rsid w:val="0041643A"/>
    <w:rsid w:val="00417101"/>
    <w:rsid w:val="00422070"/>
    <w:rsid w:val="00431272"/>
    <w:rsid w:val="004333EE"/>
    <w:rsid w:val="004339FF"/>
    <w:rsid w:val="00435A9D"/>
    <w:rsid w:val="0044500A"/>
    <w:rsid w:val="0045188F"/>
    <w:rsid w:val="00465FC6"/>
    <w:rsid w:val="004B027C"/>
    <w:rsid w:val="004B28BF"/>
    <w:rsid w:val="004C069C"/>
    <w:rsid w:val="004C1545"/>
    <w:rsid w:val="004C7125"/>
    <w:rsid w:val="004E6B4A"/>
    <w:rsid w:val="004F1110"/>
    <w:rsid w:val="004F72DA"/>
    <w:rsid w:val="004F7CDE"/>
    <w:rsid w:val="00514E41"/>
    <w:rsid w:val="0052218B"/>
    <w:rsid w:val="00532CA8"/>
    <w:rsid w:val="005439BD"/>
    <w:rsid w:val="0056694C"/>
    <w:rsid w:val="00572453"/>
    <w:rsid w:val="00583D47"/>
    <w:rsid w:val="00584BC2"/>
    <w:rsid w:val="00594A4A"/>
    <w:rsid w:val="005A1E3D"/>
    <w:rsid w:val="005A3705"/>
    <w:rsid w:val="005A450F"/>
    <w:rsid w:val="005A66B0"/>
    <w:rsid w:val="005B1262"/>
    <w:rsid w:val="005B2935"/>
    <w:rsid w:val="005B7083"/>
    <w:rsid w:val="005F0864"/>
    <w:rsid w:val="00604C71"/>
    <w:rsid w:val="00617B40"/>
    <w:rsid w:val="0062166C"/>
    <w:rsid w:val="00623C81"/>
    <w:rsid w:val="00624276"/>
    <w:rsid w:val="00626321"/>
    <w:rsid w:val="00626796"/>
    <w:rsid w:val="00630F75"/>
    <w:rsid w:val="00636F28"/>
    <w:rsid w:val="006423E2"/>
    <w:rsid w:val="00655734"/>
    <w:rsid w:val="0066046A"/>
    <w:rsid w:val="006615CF"/>
    <w:rsid w:val="00671C4D"/>
    <w:rsid w:val="006722F9"/>
    <w:rsid w:val="00681141"/>
    <w:rsid w:val="00694572"/>
    <w:rsid w:val="006A3A62"/>
    <w:rsid w:val="006A5B30"/>
    <w:rsid w:val="006B1282"/>
    <w:rsid w:val="006C37AF"/>
    <w:rsid w:val="006C6B57"/>
    <w:rsid w:val="006C6EC8"/>
    <w:rsid w:val="006C77B8"/>
    <w:rsid w:val="006D0F0A"/>
    <w:rsid w:val="006D18AE"/>
    <w:rsid w:val="006D2EDF"/>
    <w:rsid w:val="006D495B"/>
    <w:rsid w:val="006E2EC2"/>
    <w:rsid w:val="006E5327"/>
    <w:rsid w:val="00733C0F"/>
    <w:rsid w:val="007343BF"/>
    <w:rsid w:val="0077481C"/>
    <w:rsid w:val="00776C17"/>
    <w:rsid w:val="00790E1C"/>
    <w:rsid w:val="00790EA4"/>
    <w:rsid w:val="00797DF4"/>
    <w:rsid w:val="007A0722"/>
    <w:rsid w:val="007A22CF"/>
    <w:rsid w:val="007C54A4"/>
    <w:rsid w:val="007C5828"/>
    <w:rsid w:val="007E7FD9"/>
    <w:rsid w:val="007F231C"/>
    <w:rsid w:val="00805A4C"/>
    <w:rsid w:val="00810984"/>
    <w:rsid w:val="00822F9D"/>
    <w:rsid w:val="00824D87"/>
    <w:rsid w:val="00827A88"/>
    <w:rsid w:val="00830308"/>
    <w:rsid w:val="00830772"/>
    <w:rsid w:val="00831EC5"/>
    <w:rsid w:val="008459BB"/>
    <w:rsid w:val="00864178"/>
    <w:rsid w:val="0087398C"/>
    <w:rsid w:val="00886731"/>
    <w:rsid w:val="00887852"/>
    <w:rsid w:val="00897941"/>
    <w:rsid w:val="00897CB6"/>
    <w:rsid w:val="008A18C8"/>
    <w:rsid w:val="008C2ACB"/>
    <w:rsid w:val="008C4DBB"/>
    <w:rsid w:val="008D4EDB"/>
    <w:rsid w:val="008D6252"/>
    <w:rsid w:val="008E2C07"/>
    <w:rsid w:val="008E4601"/>
    <w:rsid w:val="008F6880"/>
    <w:rsid w:val="00903CF1"/>
    <w:rsid w:val="00927695"/>
    <w:rsid w:val="00932A2A"/>
    <w:rsid w:val="00933810"/>
    <w:rsid w:val="00934C25"/>
    <w:rsid w:val="0094662D"/>
    <w:rsid w:val="00951E74"/>
    <w:rsid w:val="00962B7D"/>
    <w:rsid w:val="0096338B"/>
    <w:rsid w:val="0096344B"/>
    <w:rsid w:val="00972340"/>
    <w:rsid w:val="00984250"/>
    <w:rsid w:val="009917B5"/>
    <w:rsid w:val="009A231B"/>
    <w:rsid w:val="009B4795"/>
    <w:rsid w:val="009C0855"/>
    <w:rsid w:val="009C1751"/>
    <w:rsid w:val="009C3205"/>
    <w:rsid w:val="009C42B9"/>
    <w:rsid w:val="009D793D"/>
    <w:rsid w:val="009E3031"/>
    <w:rsid w:val="009E63AE"/>
    <w:rsid w:val="009F6EC2"/>
    <w:rsid w:val="00A14960"/>
    <w:rsid w:val="00A33D50"/>
    <w:rsid w:val="00A50255"/>
    <w:rsid w:val="00A57C4A"/>
    <w:rsid w:val="00A910FC"/>
    <w:rsid w:val="00AA3072"/>
    <w:rsid w:val="00AA3634"/>
    <w:rsid w:val="00AA5DE5"/>
    <w:rsid w:val="00AC16A7"/>
    <w:rsid w:val="00AC194A"/>
    <w:rsid w:val="00AD697A"/>
    <w:rsid w:val="00AF1991"/>
    <w:rsid w:val="00AF6C20"/>
    <w:rsid w:val="00B0009B"/>
    <w:rsid w:val="00B01657"/>
    <w:rsid w:val="00B17E67"/>
    <w:rsid w:val="00B2079F"/>
    <w:rsid w:val="00B2259C"/>
    <w:rsid w:val="00B230DD"/>
    <w:rsid w:val="00B45166"/>
    <w:rsid w:val="00B45F61"/>
    <w:rsid w:val="00B53A62"/>
    <w:rsid w:val="00B568C1"/>
    <w:rsid w:val="00B626AF"/>
    <w:rsid w:val="00B76CD1"/>
    <w:rsid w:val="00B81A2D"/>
    <w:rsid w:val="00B825CD"/>
    <w:rsid w:val="00B95DD2"/>
    <w:rsid w:val="00BB611F"/>
    <w:rsid w:val="00BB6639"/>
    <w:rsid w:val="00BD5C59"/>
    <w:rsid w:val="00BE183C"/>
    <w:rsid w:val="00BE2AF4"/>
    <w:rsid w:val="00BF262A"/>
    <w:rsid w:val="00C002B4"/>
    <w:rsid w:val="00C00895"/>
    <w:rsid w:val="00C16253"/>
    <w:rsid w:val="00C21D1F"/>
    <w:rsid w:val="00C239F1"/>
    <w:rsid w:val="00C36F0C"/>
    <w:rsid w:val="00C36F5A"/>
    <w:rsid w:val="00C4059C"/>
    <w:rsid w:val="00C51F70"/>
    <w:rsid w:val="00C54BA9"/>
    <w:rsid w:val="00C7412C"/>
    <w:rsid w:val="00C93B61"/>
    <w:rsid w:val="00CA7141"/>
    <w:rsid w:val="00CC7C2A"/>
    <w:rsid w:val="00CF3794"/>
    <w:rsid w:val="00CF44D0"/>
    <w:rsid w:val="00CF744D"/>
    <w:rsid w:val="00D007DF"/>
    <w:rsid w:val="00D12A6F"/>
    <w:rsid w:val="00D155CC"/>
    <w:rsid w:val="00D20948"/>
    <w:rsid w:val="00D213D8"/>
    <w:rsid w:val="00D26095"/>
    <w:rsid w:val="00D43162"/>
    <w:rsid w:val="00D4701F"/>
    <w:rsid w:val="00D53054"/>
    <w:rsid w:val="00D56FFD"/>
    <w:rsid w:val="00D609DB"/>
    <w:rsid w:val="00D64E62"/>
    <w:rsid w:val="00D64FB3"/>
    <w:rsid w:val="00D768D7"/>
    <w:rsid w:val="00D8061E"/>
    <w:rsid w:val="00DA10A8"/>
    <w:rsid w:val="00DB032D"/>
    <w:rsid w:val="00DC0388"/>
    <w:rsid w:val="00DD2158"/>
    <w:rsid w:val="00DE12FA"/>
    <w:rsid w:val="00DE1612"/>
    <w:rsid w:val="00E020E1"/>
    <w:rsid w:val="00E024DC"/>
    <w:rsid w:val="00E05238"/>
    <w:rsid w:val="00E05262"/>
    <w:rsid w:val="00E100FA"/>
    <w:rsid w:val="00E12A22"/>
    <w:rsid w:val="00E26486"/>
    <w:rsid w:val="00E35131"/>
    <w:rsid w:val="00E412D1"/>
    <w:rsid w:val="00E516F7"/>
    <w:rsid w:val="00E5311C"/>
    <w:rsid w:val="00E624C3"/>
    <w:rsid w:val="00E6250A"/>
    <w:rsid w:val="00E93BC3"/>
    <w:rsid w:val="00EA36BD"/>
    <w:rsid w:val="00EA6FE3"/>
    <w:rsid w:val="00ED01A2"/>
    <w:rsid w:val="00ED123C"/>
    <w:rsid w:val="00EE7121"/>
    <w:rsid w:val="00EF214F"/>
    <w:rsid w:val="00F114E8"/>
    <w:rsid w:val="00F155DA"/>
    <w:rsid w:val="00F21CA6"/>
    <w:rsid w:val="00F22CB8"/>
    <w:rsid w:val="00F262C9"/>
    <w:rsid w:val="00F27B64"/>
    <w:rsid w:val="00F31BA2"/>
    <w:rsid w:val="00F3200D"/>
    <w:rsid w:val="00F449DF"/>
    <w:rsid w:val="00F4698F"/>
    <w:rsid w:val="00F51044"/>
    <w:rsid w:val="00F54F00"/>
    <w:rsid w:val="00F55E37"/>
    <w:rsid w:val="00F60096"/>
    <w:rsid w:val="00F64E07"/>
    <w:rsid w:val="00F6708F"/>
    <w:rsid w:val="00F6791C"/>
    <w:rsid w:val="00F765C7"/>
    <w:rsid w:val="00F94A61"/>
    <w:rsid w:val="00FA4CF5"/>
    <w:rsid w:val="00FB7756"/>
    <w:rsid w:val="00FC3FBE"/>
    <w:rsid w:val="00FD4573"/>
    <w:rsid w:val="00FE367D"/>
    <w:rsid w:val="00FE71F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1B1F-DC49-4A1C-A605-D726474C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2020-02-27T07:32:00Z</dcterms:modified>
</cp:coreProperties>
</file>